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E9" w:rsidRPr="00CD6E3B" w:rsidRDefault="005258E9" w:rsidP="005258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D6E3B">
        <w:rPr>
          <w:rFonts w:ascii="Times New Roman" w:hAnsi="Times New Roman" w:cs="Times New Roman"/>
          <w:b/>
          <w:bCs/>
          <w:sz w:val="24"/>
          <w:szCs w:val="24"/>
        </w:rPr>
        <w:t>ПРОГРАММА АТТЕСТАЦИИ КАНДИДАТОВ В АУДИТОРЫ 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БАНКОВСКОЕ ДЕЛО, ПЕНСИОННОЕ И СТРАХОВОЕ ЗАКОНОДАТЕЛЬСТВО</w:t>
      </w:r>
      <w:r w:rsidRPr="00CD6E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258E9" w:rsidRDefault="005258E9" w:rsidP="005258E9">
      <w:pPr>
        <w:shd w:val="clear" w:color="auto" w:fill="FFFFFF"/>
        <w:spacing w:after="0" w:line="274" w:lineRule="exact"/>
        <w:ind w:right="-3005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</w:pPr>
    </w:p>
    <w:p w:rsidR="005258E9" w:rsidRPr="00631763" w:rsidRDefault="005258E9" w:rsidP="005258E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3176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организации банковской деятельности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Коммерческие банки и основные условия их деятельности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основы деятельности банков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Отчетность и иные вопросы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76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Фондирование банковских операций и управление фондами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Пассивные операции банков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управление банковскими ресурсами</w:t>
      </w:r>
      <w:bookmarkStart w:id="0" w:name="_GoBack"/>
      <w:bookmarkEnd w:id="0"/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Собственный капитал банка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Пруденциальное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регулирование банков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Депозитный портфель и депозитная политика коммерческого банка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76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Управление банковскими активами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формирования и управления банковскими активами: их качество и структура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системы кредитования и кредитный процесс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технологии анализа кредитоспособности заемщика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обеспечения возвратности банковских ссуд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Банковский процент и процентные начисления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процесса корпоративного кредитования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процесса розничного кредитования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Лизинговые, трастовые,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форфейтинговые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услуги банка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Управление деятельностью коммерческих банков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риски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ликвидностью и платежеспособностью коммерческих банков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деятельности коммерческих банков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Пенсионное законодательство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основы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положение единого накопительного пенсионного фонда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положение добровольных накопительных пенсионных фондов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осуществления деятельности единого накопительного пенсионного фонда и добровольного накопительного пенсионного фонда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осуществления страховых выплат из страховых организаций</w:t>
      </w:r>
    </w:p>
    <w:p w:rsidR="005258E9" w:rsidRDefault="005258E9" w:rsidP="00525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Отчетность и иные вопросы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Страховое законодательство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основы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страховой деятельности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рынок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деятельность и аудит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страховой (перестраховочной организации)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деятельности страховой (перестраховочной организации)</w:t>
      </w:r>
    </w:p>
    <w:p w:rsidR="005258E9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Отчетность и иные вопросы</w:t>
      </w:r>
    </w:p>
    <w:p w:rsidR="005258E9" w:rsidRPr="00631763" w:rsidRDefault="005258E9" w:rsidP="005258E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631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Финансовая отчетность банков, пенсионных фондов, страховых организаций</w:t>
      </w:r>
    </w:p>
    <w:p w:rsidR="005258E9" w:rsidRDefault="005258E9" w:rsidP="005258E9"/>
    <w:p w:rsidR="00A82016" w:rsidRDefault="00A82016"/>
    <w:sectPr w:rsidR="00A820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84" w:rsidRDefault="00221A84" w:rsidP="005258E9">
      <w:pPr>
        <w:spacing w:after="0" w:line="240" w:lineRule="auto"/>
      </w:pPr>
      <w:r>
        <w:separator/>
      </w:r>
    </w:p>
  </w:endnote>
  <w:endnote w:type="continuationSeparator" w:id="0">
    <w:p w:rsidR="00221A84" w:rsidRDefault="00221A84" w:rsidP="005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84" w:rsidRDefault="00221A84" w:rsidP="005258E9">
      <w:pPr>
        <w:spacing w:after="0" w:line="240" w:lineRule="auto"/>
      </w:pPr>
      <w:r>
        <w:separator/>
      </w:r>
    </w:p>
  </w:footnote>
  <w:footnote w:type="continuationSeparator" w:id="0">
    <w:p w:rsidR="00221A84" w:rsidRDefault="00221A84" w:rsidP="0052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5B"/>
    <w:rsid w:val="00221A84"/>
    <w:rsid w:val="005258E9"/>
    <w:rsid w:val="00A82016"/>
    <w:rsid w:val="00C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7B71-9E0F-450A-A633-AAF6E37C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58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52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8E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2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8E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Некрылов</dc:creator>
  <cp:keywords/>
  <dc:description/>
  <cp:lastModifiedBy>Юрий Некрылов</cp:lastModifiedBy>
  <cp:revision>2</cp:revision>
  <dcterms:created xsi:type="dcterms:W3CDTF">2017-10-10T09:42:00Z</dcterms:created>
  <dcterms:modified xsi:type="dcterms:W3CDTF">2017-10-10T09:44:00Z</dcterms:modified>
</cp:coreProperties>
</file>